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right="0" w:firstLine="431"/>
        <w:rPr/>
      </w:pPr>
      <w:r>
        <w:rPr>
          <w:sz w:val="24"/>
          <w:szCs w:val="24"/>
        </w:rPr>
        <w:t xml:space="preserve">Приложение № ____ к договору генподряда </w:t>
        <w:br/>
        <w:t xml:space="preserve">       от «___» ____________202__г. № _________</w:t>
      </w:r>
    </w:p>
    <w:p>
      <w:pPr>
        <w:pStyle w:val="Normal"/>
        <w:ind w:left="4248" w:right="0" w:firstLine="431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647" w:right="0" w:firstLine="9"/>
        <w:rPr/>
      </w:pPr>
      <w:r>
        <w:rPr>
          <w:rFonts w:eastAsia="Tahoma" w:cs="Tahoma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/>
          <w:sz w:val="24"/>
          <w:szCs w:val="24"/>
        </w:rPr>
        <w:t>УТВЕРЖДАЮ</w:t>
      </w:r>
    </w:p>
    <w:p>
      <w:pPr>
        <w:pStyle w:val="BodyTextIndent3"/>
        <w:ind w:left="647" w:right="0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ind w:left="647" w:right="0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ind w:left="647" w:right="0" w:firstLine="9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ind w:left="647" w:right="0" w:firstLine="9"/>
        <w:rPr/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ind w:left="647" w:right="0" w:firstLine="9"/>
        <w:rPr/>
      </w:pPr>
      <w:r>
        <w:rPr>
          <w:rFonts w:eastAsia="Tahoma" w:cs="Tahoma" w:ascii="Tahoma" w:hAnsi="Tahom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>
        <w:rPr>
          <w:rFonts w:cs="Tahoma" w:ascii="Tahoma" w:hAnsi="Tahoma"/>
          <w:sz w:val="16"/>
          <w:szCs w:val="16"/>
        </w:rPr>
        <w:t>м.п.</w:t>
      </w:r>
      <w:r>
        <w:rPr>
          <w:rFonts w:ascii="Tahoma" w:hAnsi="Tahoma"/>
          <w:sz w:val="20"/>
        </w:rPr>
        <w:t xml:space="preserve"> </w:t>
      </w:r>
    </w:p>
    <w:p>
      <w:pPr>
        <w:pStyle w:val="Normal"/>
        <w:spacing w:lineRule="auto" w:line="360" w:before="120" w:after="12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4"/>
          <w:szCs w:val="24"/>
        </w:rPr>
        <w:t>ЗАДАНИЕ НА ПРОЕКТИРОВАНИЕ № СКС-202</w:t>
      </w:r>
      <w:r>
        <w:rPr>
          <w:b/>
          <w:sz w:val="24"/>
          <w:szCs w:val="24"/>
          <w:lang w:val="en-US"/>
        </w:rPr>
        <w:t>2</w:t>
      </w:r>
      <w:r>
        <w:rPr>
          <w:b/>
          <w:sz w:val="24"/>
          <w:szCs w:val="24"/>
        </w:rPr>
        <w:t>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2.3.1.9.9</w:t>
      </w:r>
      <w:r>
        <w:rPr>
          <w:b/>
          <w:sz w:val="24"/>
          <w:szCs w:val="24"/>
        </w:rPr>
        <w:br/>
      </w:r>
      <w:r>
        <w:rPr>
          <w:rFonts w:cs="Tahoma"/>
          <w:b/>
          <w:bCs/>
          <w:sz w:val="24"/>
          <w:szCs w:val="24"/>
          <w:lang w:val="ru-RU" w:eastAsia="zh-CN" w:bidi="ar-SA"/>
        </w:rPr>
        <w:t>на выполнение проектн</w:t>
      </w:r>
      <w:r>
        <w:rPr>
          <w:rFonts w:eastAsia="Times New Roman" w:cs="Tahoma"/>
          <w:b/>
          <w:bCs/>
          <w:color w:val="000000"/>
          <w:kern w:val="0"/>
          <w:sz w:val="24"/>
          <w:szCs w:val="24"/>
          <w:lang w:val="ru-RU" w:eastAsia="zh-CN" w:bidi="ar-SA"/>
        </w:rPr>
        <w:t>ых</w:t>
      </w:r>
      <w:r>
        <w:rPr>
          <w:rFonts w:cs="Tahoma"/>
          <w:b/>
          <w:bCs/>
          <w:sz w:val="24"/>
          <w:szCs w:val="24"/>
          <w:lang w:val="ru-RU" w:eastAsia="zh-CN" w:bidi="ar-SA"/>
        </w:rPr>
        <w:t xml:space="preserve"> работ и работ, необходимых для их исполнения,</w:t>
      </w:r>
      <w:r>
        <w:rPr>
          <w:rFonts w:eastAsia="Times New Roman" w:cs="Tahoma"/>
          <w:b/>
          <w:bCs/>
          <w:color w:val="000000"/>
          <w:sz w:val="24"/>
          <w:szCs w:val="24"/>
          <w:lang w:val="ru-RU" w:eastAsia="ru-RU" w:bidi="ar-SA"/>
        </w:rPr>
        <w:t xml:space="preserve"> по о</w:t>
      </w:r>
      <w:r>
        <w:rPr>
          <w:rFonts w:cs="Tahoma"/>
          <w:b/>
          <w:bCs/>
          <w:sz w:val="24"/>
          <w:szCs w:val="24"/>
          <w:lang w:val="ru-RU" w:eastAsia="zh-CN" w:bidi="ar-SA"/>
        </w:rPr>
        <w:t xml:space="preserve">бъекту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>«Водопроводные сети для обеспечения мероприятий по подключению объектов капстроительства к системам водоснабжения, в том числе: Реконструкция ул. Лейтенанта Шмидта от Октябрьского спуска до ул. Ново-Садовой (вынос сетей водоснабжения)»</w:t>
      </w:r>
    </w:p>
    <w:p>
      <w:pPr>
        <w:pStyle w:val="Normal"/>
        <w:spacing w:lineRule="auto" w:line="276" w:before="57" w:after="57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649" w:type="dxa"/>
        <w:jc w:val="left"/>
        <w:tblInd w:w="0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544"/>
        <w:gridCol w:w="2916"/>
        <w:gridCol w:w="6189"/>
      </w:tblGrid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  <w:lang w:val="en-US"/>
              </w:rPr>
              <w:t>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Инвестиционная программа ООО «Самарские коммунальные системы» (далее — Заказчик), утвержденная приказом министерства энергетики и ЖКХ Самарской области № 192 от 1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9.11.2021</w:t>
            </w:r>
            <w:r>
              <w:rPr>
                <w:i w:val="false"/>
                <w:iCs w:val="false"/>
                <w:sz w:val="24"/>
                <w:szCs w:val="24"/>
              </w:rPr>
              <w:t xml:space="preserve"> (п.2.3.1.9.9)</w:t>
            </w:r>
          </w:p>
        </w:tc>
      </w:tr>
      <w:tr>
        <w:trPr>
          <w:trHeight w:val="441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 строительства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Реконструкция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Стадия проектирования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</w:t>
            </w:r>
            <w:r>
              <w:rPr>
                <w:i w:val="false"/>
                <w:iCs w:val="false"/>
                <w:sz w:val="24"/>
                <w:szCs w:val="24"/>
              </w:rPr>
              <w:t>абочая документация, разделы проектной документации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Исходные данные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Исходные данные представлены в Приложениях №№ 1.2.1 — 1.2.4 к настоящему Заданию на проектирование (далее — ЗП)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Месторасположение предприятия, здания, сооружения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г. Самара, 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Октябрьский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 район, 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ул. Л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ейтенанта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Шмидта</w:t>
            </w:r>
            <w:r>
              <w:rPr>
                <w:rFonts w:eastAsia="Times New Roman" w:cs="Tahoma"/>
                <w:i w:val="false"/>
                <w:iCs w:val="false"/>
                <w:color w:val="auto"/>
                <w:kern w:val="2"/>
                <w:sz w:val="24"/>
                <w:szCs w:val="24"/>
                <w:lang w:val="ru-RU" w:eastAsia="zh-CN" w:bidi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Схема места положения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проектируемых сетей водоснабжения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прилагается (Приложение №1.2.2 к настоящему ЗП).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разработки документации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Выполнить подготовку и получение всех необходимых исходных и дополнительных данных, исходно-разрешительной документации, в том числе технических условий, в объеме, необходимом для выполнения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, для разработки и согласования документации и получения заключения экспертизы сметной документации в части проверки достоверности определения сметной стоимости объекта (далее — экспертиза), при необходимости — иных экспертиз.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  <w:highlight w:val="white"/>
              </w:rPr>
              <w:t xml:space="preserve"> 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 начала проектирования реконструкции водопроводных сетей проработать основные проектные решения (далее - ОПР), в том числе: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6.2.1 Определить,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в том числе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с учетом существующей градостроительной ситуации (в том числе наличия прав третьих лиц) и решений по реконструкции ул. Лейтенанта Шмидта,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трассу сетей и способ производства работ, при необходимости -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пе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ru-RU" w:bidi="ar-SA"/>
              </w:rPr>
              <w:t>речень оборудования, материалов 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работ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ru-RU" w:bidi="ar-SA"/>
              </w:rPr>
              <w:t>по реконструкции/восстановлению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существующих колодцев/камер на реконструируемых сетях.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 xml:space="preserve">Учесть результаты проведенных при необходимости в объеме работ по объекту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lang w:val="ru-RU" w:eastAsia="zh-CN" w:bidi="ar-SA"/>
              </w:rPr>
              <w:t xml:space="preserve">«Канализационные сети для обеспечения мероприятий по подключению объектов капстроительства к системам водоотведения: Реконструкция ул.Лейтенанта Шмидта от Октябрьского спуска до ул.Ново-Садовой (вынос сетей водоотведения)» 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zh-CN" w:bidi="ar-SA"/>
              </w:rPr>
              <w:t xml:space="preserve">археологических полевых работ/археологических изысканий, заключения историко-культурной экспертизы и решения соответствующих органов о возможности проведения работ. 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Определить, с учетом требований законодательных, нормативно- технических и правовых документов, необходимость получения иных документов, материалов, осуществление иных мероприятий, необходимых для проектирования и строительства объекта.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6.2.3. Разработать схему с указанием границ и площадей занимаемого на время строительства земельного участка, в том числе по землям третьих лиц.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6.2.4. Выполнить подбор (в том числе сравнение технических и экономических характеристик, с техни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ко-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экономическим обоснованием, с приложением подтверждающих документов) применяемых материалов труб и арматуры с учётом экономической эффективности строительства и последующей эксплуатации, с учетом требований Единой технической политики ООО «РКС-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» (Приложения №1.1.2 и №1.1.3 к настоящему ЗП).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6.2.5. С</w:t>
            </w:r>
            <w:bookmarkStart w:id="0" w:name="__DdeLink__6056_1166444295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целью выбора для дальнейшего проектирования основных проектных решений предоставить  ориентировочные затраты на их реализацию (с обоснованием затрат)</w:t>
            </w:r>
            <w:bookmarkEnd w:id="0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, в том числе: с учетом получения согласований, экспертиз и всех документов, и осуществлением всех действий, необходимых для разработки документации с получением положительного заключения экспертиз.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6.2.6.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на согласование Заказчику с целью их рассмотрения и согласования для дальнейшего проектирования.</w:t>
            </w:r>
          </w:p>
          <w:p>
            <w:pPr>
              <w:pStyle w:val="29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6.3. Объем проектирования может быть уточнен после рассмотрения ОПР.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6.4.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Выполнить необходимую для строительства сетей водоснабжения и сооружений на них (в соответствии с прилагаемыми техническими условиями) схему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в системе координат, используемой для ведения</w:t>
            </w:r>
            <w:bookmarkStart w:id="1" w:name="P0269111"/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6.5.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после выбора и согласования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ОПР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)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документацию для </w:t>
            </w:r>
            <w:r>
              <w:rPr>
                <w:rFonts w:eastAsia="Tahoma" w:cs="Tahoma"/>
                <w:b w:val="false"/>
                <w:b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реконструкции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 водопроводных сетей, сооружений на них согласно Технических условий и настоящего ЗП в объеме, достаточном для: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-осуществления строительства.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6.6. В составе документации разработать в том числе: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рабочую документацию на технологические и конструктивные решения устройства сетей водоснабжения и сооружений на них;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ведомости объемов работ;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разделы проектной документации, в том числе: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пояснительную записку (ПЗ);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п</w:t>
            </w:r>
            <w:r>
              <w:rPr>
                <w:rFonts w:cs="Tahoma"/>
                <w:b w:val="false"/>
                <w:sz w:val="24"/>
                <w:szCs w:val="24"/>
              </w:rPr>
              <w:t>роект организации строительства водопроводных сетей и сооружений на них (ПОС) 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rFonts w:cs="Tahoma"/>
                <w:b w:val="false"/>
                <w:sz w:val="24"/>
                <w:szCs w:val="24"/>
              </w:rPr>
              <w:t>-сметную документацию,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в том числе сводный сметный расчет (далее – ССР) с учетом требований, указанных в Приложении №1.1.1 к настоящему ЗП;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 xml:space="preserve">6.7. Выполнить ресурсную ведомость материалов, включенных в смету на выполнение строительно-монтажных работ, </w:t>
            </w: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  <w:lang w:val="ru-RU"/>
              </w:rPr>
              <w:t xml:space="preserve">и спецификации оборудования и материалов </w:t>
            </w: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с разделением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6.8.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согласование рабочей документации и других необходимых материалов с компетентными государственными организациями (при необходимости), органами местного самоуправления (при необходимости); со всеми заинтересованными лицами, заинтересованными и эксплуатирующими организациями города, с собственниками земельных участков, по которым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предполагается прохождение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проектируем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сетей и сооружений на них, и с Департаментом градостроительства г.о. Самара.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6.9. Направить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на рассмотрение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разработанную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документацию, ведомости объемов работ до их передачи на экспертизу для </w:t>
            </w:r>
            <w:r>
              <w:rPr>
                <w:rFonts w:cs="Tahoma"/>
                <w:b w:val="false"/>
                <w:bCs/>
                <w:sz w:val="24"/>
                <w:szCs w:val="24"/>
              </w:rPr>
              <w:t>получения согласия на ее прохождение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6.10. Провести экспертизу сметной документации в части проверки достоверности определения сметной стоимости объекта.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Выполнить сравнение вариантов (не менее 3-х) выбора товарно-материальных ценностей (оборудования), при  стоимости ТМЦ свыше 1 млн.руб (без НДС) - с определением в том числе стоимости владения оборудованием по форме и с учетом требований Единой Технической политики ООО «РКС-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организации, выигравшей конкурс).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9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9.1. До реконструкции: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одопроводная линия Ду-150мм (инв.№№ 2821.2823).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9.1.2.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</w:t>
            </w:r>
            <w:bookmarkStart w:id="2" w:name="__DdeLink__4777_4166544719"/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одопроводная линия Ду-200мм (инв.№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1092216901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)</w:t>
            </w:r>
            <w:bookmarkEnd w:id="2"/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9.1.3.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одопроводная линия Ду-300мм (инв.№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1092216901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>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9.2. После реконструкции: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9.2.1. Водовод Ду-500 мм протяженностью ориентировочно 460 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9.2.2. Перемычка Ду-500 мм протяженностью ориентировочно 30 м.</w:t>
            </w:r>
          </w:p>
          <w:p>
            <w:pPr>
              <w:pStyle w:val="BodyTextIndent2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>
                <w:i w:val="false"/>
                <w:iCs w:val="false"/>
                <w:sz w:val="24"/>
                <w:szCs w:val="24"/>
              </w:rPr>
              <w:t>10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требования к проектированию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Геннподрядчику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Получить необходимые исходные и дополнительные данные, в том числе технические условия,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осуществить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мероприятия, необходимые для выполнения работы, согласовать документацию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провести необходимые экспертизы.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Оплату счетов за согласование и проведение экспертизы осуществляет Генподрядчик.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10.2. Объемы проектирования могут быть уточнены после рассмотрения и согласования ОПР.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роектирование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вести на основании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 отчетов по инженерным изысканиям и с учетом, при необходимости проведения,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заключения историко-культурной экспертизы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zh-CN" w:bidi="ar-SA"/>
              </w:rPr>
              <w:t>решения соответствующих органов о возможности проведения работ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 xml:space="preserve">, выполненными в объеме проектных работ по объекту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 xml:space="preserve"> </w:t>
            </w:r>
            <w:bookmarkStart w:id="3" w:name="__DdeLink__3015_24458329391"/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zh-CN" w:bidi="ar-SA"/>
              </w:rPr>
              <w:t>«Канализационные сети для обеспечения мероприятий по подключению объектов капстроительства к системам водоотведения: Реконструкция ул.Лейтенанта Шмидта от Октябрьского спуска до ул.Ново-Садовой (вынос сетей водоотведения)».</w:t>
            </w:r>
            <w:bookmarkEnd w:id="3"/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10.4. Выполнить ресурсную ведомость материалов и оборудования, включенных в смету на выполнение строительно-монтажных работ, и спецификации оборудования и материалов с разделением (при необходимости, по согласованию с Заказчиком)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10.5.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ar-SA" w:bidi="ar-SA"/>
              </w:rPr>
              <w:t>Разработать ведомости объемов работ, при необходимости - ведомости демонтажа конструкций, инженерных сетей.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en-US" w:bidi="ar-SA"/>
              </w:rPr>
              <w:t>10.6. 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10.7. Предусмотреть в сметной документации определение стоимости работ по реконструкции существующих водопроводных сетей с разделением стоимости работ по каждой сети, имеющей свой инвентарный номер.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lang w:val="ru-RU" w:eastAsia="ru-RU" w:bidi="ar-SA"/>
              </w:rPr>
              <w:t>10.8. Состав и содержание ПЗ, ПОС, ПОД предусмотреть в соответствии с требованиями нормативно-технических документов и Постановления Правительства РФ от 16.02.08г. № 87 «О составе проектной документации и требованиях к их содержанию» с учетом изменений и дополнений, действующих на момент выдачи документации.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10.9. </w:t>
            </w: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Направить </w:t>
            </w:r>
            <w:r>
              <w:rPr>
                <w:rFonts w:eastAsia="Tahoma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на рассмотрение документацию до передачи ее на экспертизу для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получения согласия на ее прохождение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>10.10. 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кспертизы и все необходимые согласования документации с заинтересованными и эксплуатирующими сетевыми организациями, государственными органами, а так же с третьими лицами,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10.11.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согласований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10.12. 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10.13.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В случае получения отрицательного заключения экспертизы корректировка документации, а также проведение повторной экспертизы осуществляется за счет Генподрядчика.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ar-SA"/>
              </w:rPr>
              <w:t xml:space="preserve"> собственными силами и/или организовывает и координирует работу субподрядных организаций, а так же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несет ответственность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10.15. </w:t>
            </w:r>
            <w:r>
              <w:rPr>
                <w:rFonts w:eastAsia="Tahoma" w:cs="Tahoma"/>
                <w:i w:val="false"/>
                <w:iCs w:val="false"/>
                <w:sz w:val="24"/>
                <w:szCs w:val="24"/>
                <w:lang w:eastAsia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sz w:val="24"/>
                <w:szCs w:val="24"/>
                <w:lang w:eastAsia="ar-SA"/>
              </w:rPr>
              <w:t xml:space="preserve">10.16.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В случае ненадлежащего составления проекта,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>10.17. Передать подлинники полученных данных, документов, согласований Заказчику.</w:t>
            </w:r>
          </w:p>
        </w:tc>
      </w:tr>
      <w:tr>
        <w:trPr>
          <w:trHeight w:val="1280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>
          <w:trHeight w:val="5222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46"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Документацию для строительства водопроводов и сооружений на них для технологического присоединения объекта к централизованным системам холодного водоснабжения разработать с учетом требований Постановления Правительства РФ от 16.02.08г. № 87 «О составе проектной документации и требованиях к их содержанию» (с учетом действующих изменений и дополнений),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законодательными,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нормативно-техническими документами и требованиями, действующими на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дату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выдачи документации Заказчику, а так же на основе инженерных изысканий, технических условий и требований настоящего ЗП.</w:t>
            </w:r>
          </w:p>
          <w:p>
            <w:pPr>
              <w:pStyle w:val="Style4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Режим работы проектируемого объекта - непрерывный, без постоянного пребывания обслуживающего персонала.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sz w:val="24"/>
                <w:szCs w:val="24"/>
                <w:highlight w:val="white"/>
              </w:rPr>
              <w:t xml:space="preserve">12.3.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Выполнить при разработке ОПР сравнительный анализ по материалу труб, запорной арматуре и выбрать по согласованию с </w:t>
            </w:r>
            <w:r>
              <w:rPr>
                <w:rFonts w:eastAsia="Times New Roman" w:cs="Tahoma"/>
                <w:bCs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Заказчиком,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en-US" w:bidi="ar-SA"/>
              </w:rPr>
              <w:t xml:space="preserve">в соответствии с требованиями Единой Технической Политики (ЕТП) ООО «РКС-Холдинг» (Приложения №1.1.2 и №1.1.3 к настоящему ЗП)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наиболее подходящий вариант с учетом экономической эффективности строительства и последующей эксплуатации. 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>12.4. Разработать документацию: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- на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реконструкцию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водопроводных линий Ду-150мм (инв.№№ 2821, 2823), Ду-200мм (инв.№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1092216901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),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Ду-300мм (инв.№1092216901) с устройством взамен водовода Ду-500 мм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 по ул. Лейтенанта Шмидта от водовода Д-1200 мм по ул. Ново-Садовой до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водовода Д-450 мм по ул. Липецкой  протяженностью ориентировочно 460 м;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- на устройство перемычки Ду-500 мм между проектируемым водоводом Ду-500 мм и водоводом Ду-700 мм по ул. Ново-Садовой в створе ул. Лейтенанта Шмидта протяженностью ориентировочно 30 м.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>12.5.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Рассмотреть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возможность прохождения проектируемым водоводом по трассе реконструируемых существующих водопроводных сетей. Существующие сети на момент производства работ могут быть отключены.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12.6. Предусмотреть демонтаж/тампонаж существующих реконструируемых сетей.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12.7. Предусмотреть переключение существующих водопроводных сетей для абонентов на проектируемую водопроводную сеть.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12.8. Сохранить места размещения пожарных гидрантов.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12.9. </w:t>
            </w:r>
            <w:r>
              <w:rPr>
                <w:rFonts w:eastAsia="Arial" w:cs="Arial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Проектирование вести с учетом в том числе предполагаемых решений по реконструкции и благоустройству ул. Лейтенанта Шмидта, размещению иных сетей в зоне производства работ.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12.10. 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12.11. </w:t>
            </w:r>
            <w:bookmarkStart w:id="4" w:name="__DdeLink__4934_984431242"/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  <w:bookmarkEnd w:id="4"/>
          </w:p>
          <w:p>
            <w:pPr>
              <w:pStyle w:val="ListParagraph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>12.12. 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" w:cs="Tahoma" w:eastAsiaTheme="minorHAnsi"/>
                <w:bCs/>
                <w:i w:val="false"/>
                <w:iCs w:val="false"/>
                <w:color w:val="auto"/>
                <w:sz w:val="24"/>
                <w:szCs w:val="24"/>
                <w:lang w:eastAsia="en-US"/>
              </w:rPr>
              <w:t>3-2015).</w:t>
            </w: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 </w:t>
            </w:r>
            <w:r>
              <w:rPr>
                <w:rFonts w:eastAsia="" w:cs="Tahoma" w:eastAsiaTheme="minorHAnsi"/>
                <w:bCs/>
                <w:i w:val="false"/>
                <w:iCs w:val="false"/>
                <w:color w:val="auto"/>
                <w:sz w:val="24"/>
                <w:szCs w:val="24"/>
                <w:lang w:eastAsia="en-US"/>
              </w:rPr>
              <w:br/>
              <w:t xml:space="preserve">12.13.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sz w:val="24"/>
                <w:szCs w:val="24"/>
              </w:rPr>
              <w:t>13.1. Д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окументацию разработать в соответствии с законодательством, действующими нормативно-техническими и правовыми документами.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13.2. Применить типовые конструкции и изделия.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sz w:val="24"/>
                <w:szCs w:val="24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13.5.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г.о. Самара, с учетом решений по реконструкции ул. Лейтенанта Шмидта.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документов, в том числе в области охраны окружающей среды, природопользования.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 Соответствующие затраты подрядчика учесть в сметной документации.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16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Технологическая связь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Энергоснабжение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19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энергосбережению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20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overflowPunct w:val="false"/>
              <w:bidi w:val="0"/>
              <w:ind w:left="57" w:right="0" w:hanging="0"/>
              <w:jc w:val="left"/>
              <w:rPr>
                <w:rFonts w:ascii="Times New Roman" w:hAnsi="Times New Roman" w:eastAsia="Times New Roman" w:cs="Tahoma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/>
              <w:t>Не требуется</w:t>
            </w:r>
          </w:p>
        </w:tc>
      </w:tr>
      <w:tr>
        <w:trPr>
          <w:trHeight w:val="870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ассимиляции производства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инженерные коммуникации.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пожарной безопасности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51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PlainText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26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системам безопасности и охране объектов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27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113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Определение затрат на страхование 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28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29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Заказчик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т.+7(846)336-14-02, +7(846)207-48-71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en-US"/>
              </w:rPr>
              <w:t xml:space="preserve">e-mail: </w:t>
            </w:r>
            <w:hyperlink r:id="rId2">
              <w:r>
                <w:rPr>
                  <w:rStyle w:val="Style16"/>
                  <w:rFonts w:cs="Times New Roman"/>
                  <w:b w:val="false"/>
                  <w:bCs w:val="false"/>
                  <w:i w:val="false"/>
                  <w:iCs w:val="false"/>
                  <w:color w:val="000000"/>
                  <w:sz w:val="24"/>
                  <w:szCs w:val="24"/>
                  <w:u w:val="none"/>
                  <w:lang w:val="ru-RU"/>
                </w:rPr>
                <w:t>vMaksimov@samcomsys.ru</w:t>
              </w:r>
            </w:hyperlink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</w:p>
        </w:tc>
      </w:tr>
      <w:tr>
        <w:trPr>
          <w:trHeight w:val="603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  <w:lang w:val="ru-RU"/>
              </w:rPr>
              <w:t>30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4"/>
                <w:szCs w:val="24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выполнения работы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57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Не требуются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43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действия задания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4"/>
                <w:szCs w:val="24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  <w:highlight w:val="yellow"/>
              </w:rPr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технических условий, кадастровых выписок;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- ОПР, их согласование с Заказчиком;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документацию, в том числе ВОР, опросные листы;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планируемого к размещению линейного объекта с 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 xml:space="preserve">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 системе координат, используемой для ведения</w:t>
            </w:r>
            <w:bookmarkStart w:id="5" w:name="P0269112"/>
            <w:bookmarkEnd w:id="5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согласований документации;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положительно</w:t>
            </w:r>
            <w:r>
              <w:rPr>
                <w:rFonts w:eastAsia="Times New Roman" w:cs="Calibri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е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заключение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экспертизы (на бумажном носителе и в электронном виде);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В случае получения отрицательного заключения экспертизы расходы на ее повторное проведение возлагаются на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одрядчика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4"/>
                <w:szCs w:val="24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Проектные спецификации по всем разделам выдать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После получения положительного заключения экспертизы Генподрядчик передает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документацию, схемы, подлинники всех полученных исходных и дополнительных данных, заключение экспертизы, иные документы и материалы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4"/>
                <w:szCs w:val="24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5-ти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 в том числе один из них должен быть заверен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 целью подтверждения соответствия копии оригиналу.</w:t>
            </w:r>
            <w:r>
              <w:rPr>
                <w:i w:val="false"/>
                <w:iCs w:val="false"/>
                <w:sz w:val="24"/>
                <w:szCs w:val="24"/>
              </w:rPr>
              <w:t xml:space="preserve"> Для заверения необходимо сшить документ скобой или нитками, пронумеровать, сверху первой страницы поставить «копия», на обратной стороне завершающего листа в точке соединения обозначить: «прошито, пронумеровано ____ листов»; отметку о том, что подлинник документации находится в организации; печать, дату, подпись и расшифровку уполномоченного лица. 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электронном виде - на </w:t>
            </w:r>
            <w:bookmarkStart w:id="6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6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</w:p>
          <w:p>
            <w:pPr>
              <w:pStyle w:val="Style37"/>
              <w:widowControl/>
              <w:numPr>
                <w:ilvl w:val="0"/>
                <w:numId w:val="0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 xml:space="preserve">схемы границ планируемого к размещению линейного объекта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передаче материалов на электронных носителях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маркировка с указанием: наименование и тип документации, Заказчика, Исполнителя, даты изготовления электронной версии, порядкового номера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r>
              <w:rPr>
                <w:i w:val="false"/>
                <w:iCs w:val="false"/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Технологические схемы и чертежи представить в </w:t>
            </w:r>
            <w:bookmarkStart w:id="7" w:name="_GoBack"/>
            <w:bookmarkEnd w:id="7"/>
            <w:r>
              <w:rPr>
                <w:i w:val="false"/>
                <w:iCs w:val="false"/>
                <w:sz w:val="24"/>
                <w:szCs w:val="24"/>
              </w:rPr>
              <w:t xml:space="preserve">форматах PDF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чертежи и схемы –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Исходные и дополнительные данные и иные документы - 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bookmarkStart w:id="8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схемы границ планируемого к размещению линейного объекта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2013</w:t>
            </w:r>
            <w:bookmarkEnd w:id="8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PDF.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0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Заключение экспертизы выдать в том числе в электронном виде в формате PDF.</w:t>
            </w:r>
          </w:p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>
          <w:trHeight w:val="1451" w:hRule="atLeast"/>
        </w:trPr>
        <w:tc>
          <w:tcPr>
            <w:tcW w:w="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9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/>
              <w:t>Гриф секретности выполняемых инженерных изысканий и проектно-сметной документации</w:t>
            </w:r>
          </w:p>
        </w:tc>
        <w:tc>
          <w:tcPr>
            <w:tcW w:w="61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  <w:highlight w:val="yellow"/>
        </w:rPr>
      </w:pPr>
      <w:r>
        <w:rPr>
          <w:rFonts w:eastAsia="Arial" w:cs="Tahoma"/>
          <w:b/>
          <w:bCs/>
          <w:i/>
          <w:iCs/>
          <w:color w:val="00000A"/>
          <w:sz w:val="24"/>
          <w:szCs w:val="24"/>
          <w:highlight w:val="yellow"/>
        </w:rPr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№1.1.1</w:t>
      </w: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Технические требования на проектирование (составление сметной документации).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№1.1.2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№1.1.3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№1.2.1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е условия ООО «Самарские коммунальные системы» №ТУ-05-1219 от 17.11.2021</w:t>
      </w:r>
      <w:r>
        <w:rPr>
          <w:rFonts w:eastAsia="Arial" w:cs="Tahoma"/>
          <w:b w:val="false"/>
          <w:bCs w:val="false"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outlineLvl w:val="3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№1.2.2 </w:t>
      </w:r>
      <w:bookmarkStart w:id="9" w:name="__DdeLink__5869_3571804480"/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Ориентировочная схема места положения </w:t>
      </w:r>
      <w:bookmarkEnd w:id="9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объекта.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outlineLvl w:val="3"/>
        <w:rPr/>
      </w:pPr>
      <w:bookmarkStart w:id="10" w:name="__DdeLink__24998_2992881063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Приложение №1.2.3 Схема места положения существующих реконструируемых сетей.</w:t>
      </w:r>
      <w:bookmarkEnd w:id="10"/>
    </w:p>
    <w:p>
      <w:pPr>
        <w:pStyle w:val="Normal"/>
        <w:keepLines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/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Приложение №1.2.4 План автомобильных дорог (проект, один лист). Данные материалы уточнить у заказчика проектирования реконструкции ул. Лейтенанта Шмидта — Департамента градостроительства г.о. Самара.</w:t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 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                 (Ф,И.О.)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/>
            </w:pPr>
            <w:bookmarkStart w:id="11" w:name="__DdeLink__2405_1297102664"/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b w:val="false"/>
                <w:b w:val="false"/>
                <w:bCs w:val="false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sz w:val="20"/>
                <w:szCs w:val="20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_____________________</w:t>
              <w:tab/>
              <w:t xml:space="preserve">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 xml:space="preserve"> Д.С. Ракицкий</w:t>
            </w:r>
            <w:bookmarkEnd w:id="11"/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ab/>
              <w:tab/>
              <w:t xml:space="preserve">                                  (Ф.И.О.)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417" w:right="851" w:header="709" w:top="125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val="bestFit" w:percent="144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408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408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false"/>
      <w:bidi w:val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408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408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408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408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408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false"/>
      <w:bidi w:val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false"/>
      <w:bidi w:val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false"/>
      <w:bidi w:val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408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408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408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fals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fals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Maksimov@samcomsys.ru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Application>LibreOffice/6.3.0.4$Windows_X86_64 LibreOffice_project/057fc023c990d676a43019934386b85b21a9ee99</Application>
  <Pages>12</Pages>
  <Words>3202</Words>
  <Characters>23848</Characters>
  <CharactersWithSpaces>27154</CharactersWithSpaces>
  <Paragraphs>254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dcterms:modified xsi:type="dcterms:W3CDTF">2021-12-01T11:32:37Z</dcterms:modified>
  <cp:revision>139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